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0" simplePos="0" relativeHeight="15728640">
            <wp:simplePos x="0" y="0"/>
            <wp:positionH relativeFrom="page">
              <wp:posOffset>166900</wp:posOffset>
            </wp:positionH>
            <wp:positionV relativeFrom="page">
              <wp:posOffset>10158980</wp:posOffset>
            </wp:positionV>
            <wp:extent cx="7393664" cy="526161"/>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7393664" cy="526161"/>
                    </a:xfrm>
                    <a:prstGeom prst="rect">
                      <a:avLst/>
                    </a:prstGeom>
                  </pic:spPr>
                </pic:pic>
              </a:graphicData>
            </a:graphic>
          </wp:anchor>
        </w:drawing>
      </w:r>
    </w:p>
    <w:p>
      <w:pPr>
        <w:pStyle w:val="BodyText"/>
        <w:rPr>
          <w:rFonts w:ascii="Times New Roman"/>
          <w:sz w:val="20"/>
        </w:rPr>
      </w:pPr>
    </w:p>
    <w:p>
      <w:pPr>
        <w:pStyle w:val="BodyText"/>
        <w:spacing w:before="1"/>
        <w:rPr>
          <w:rFonts w:ascii="Times New Roman"/>
          <w:sz w:val="19"/>
        </w:rPr>
      </w:pPr>
    </w:p>
    <w:p>
      <w:pPr>
        <w:pStyle w:val="Heading1"/>
        <w:spacing w:line="386" w:lineRule="auto"/>
        <w:ind w:left="2572" w:right="2216" w:hanging="264"/>
      </w:pPr>
      <w:r>
        <w:rPr/>
        <w:t>Memorandum of Understanding for the Framework Initiative:</w:t>
      </w:r>
    </w:p>
    <w:p>
      <w:pPr>
        <w:pStyle w:val="BodyText"/>
        <w:rPr>
          <w:b/>
          <w:sz w:val="36"/>
        </w:rPr>
      </w:pPr>
    </w:p>
    <w:p>
      <w:pPr>
        <w:pStyle w:val="BodyText"/>
        <w:rPr>
          <w:b/>
          <w:sz w:val="36"/>
        </w:rPr>
      </w:pPr>
    </w:p>
    <w:p>
      <w:pPr>
        <w:pStyle w:val="BodyText"/>
        <w:spacing w:before="2"/>
        <w:rPr>
          <w:b/>
          <w:sz w:val="43"/>
        </w:rPr>
      </w:pPr>
    </w:p>
    <w:p>
      <w:pPr>
        <w:pStyle w:val="ListParagraph"/>
        <w:numPr>
          <w:ilvl w:val="0"/>
          <w:numId w:val="1"/>
        </w:numPr>
        <w:tabs>
          <w:tab w:pos="1192" w:val="left" w:leader="none"/>
          <w:tab w:pos="1193" w:val="left" w:leader="none"/>
        </w:tabs>
        <w:spacing w:line="240" w:lineRule="auto" w:before="0" w:after="0"/>
        <w:ind w:left="1192" w:right="0" w:hanging="711"/>
        <w:jc w:val="left"/>
        <w:rPr>
          <w:rFonts w:ascii="Symbol" w:hAnsi="Symbol"/>
          <w:b/>
          <w:sz w:val="36"/>
        </w:rPr>
      </w:pPr>
      <w:r>
        <w:rPr>
          <w:b/>
          <w:sz w:val="36"/>
        </w:rPr>
        <w:t>“Fashion</w:t>
      </w:r>
      <w:r>
        <w:rPr>
          <w:b/>
          <w:spacing w:val="-1"/>
          <w:sz w:val="36"/>
        </w:rPr>
        <w:t> </w:t>
      </w:r>
      <w:r>
        <w:rPr>
          <w:b/>
          <w:sz w:val="36"/>
        </w:rPr>
        <w:t>Restart”</w:t>
      </w:r>
    </w:p>
    <w:p>
      <w:pPr>
        <w:pStyle w:val="ListParagraph"/>
        <w:numPr>
          <w:ilvl w:val="0"/>
          <w:numId w:val="1"/>
        </w:numPr>
        <w:tabs>
          <w:tab w:pos="1192" w:val="left" w:leader="none"/>
          <w:tab w:pos="1193" w:val="left" w:leader="none"/>
        </w:tabs>
        <w:spacing w:line="240" w:lineRule="auto" w:before="220" w:after="0"/>
        <w:ind w:left="1192" w:right="0" w:hanging="711"/>
        <w:jc w:val="left"/>
        <w:rPr>
          <w:rFonts w:ascii="Symbol" w:hAnsi="Symbol"/>
          <w:b/>
          <w:sz w:val="36"/>
        </w:rPr>
      </w:pPr>
      <w:r>
        <w:rPr>
          <w:b/>
          <w:sz w:val="36"/>
        </w:rPr>
        <w:t>“Health</w:t>
      </w:r>
      <w:r>
        <w:rPr>
          <w:b/>
          <w:spacing w:val="-1"/>
          <w:sz w:val="36"/>
        </w:rPr>
        <w:t> </w:t>
      </w:r>
      <w:r>
        <w:rPr>
          <w:b/>
          <w:sz w:val="36"/>
        </w:rPr>
        <w:t>Emergencies”</w:t>
      </w:r>
    </w:p>
    <w:p>
      <w:pPr>
        <w:pStyle w:val="ListParagraph"/>
        <w:numPr>
          <w:ilvl w:val="0"/>
          <w:numId w:val="1"/>
        </w:numPr>
        <w:tabs>
          <w:tab w:pos="1192" w:val="left" w:leader="none"/>
          <w:tab w:pos="1193" w:val="left" w:leader="none"/>
        </w:tabs>
        <w:spacing w:line="240" w:lineRule="auto" w:before="221" w:after="0"/>
        <w:ind w:left="1192" w:right="0" w:hanging="711"/>
        <w:jc w:val="left"/>
        <w:rPr>
          <w:rFonts w:ascii="Symbol" w:hAnsi="Symbol"/>
          <w:b/>
          <w:sz w:val="36"/>
        </w:rPr>
      </w:pPr>
      <w:r>
        <w:rPr>
          <w:b/>
          <w:sz w:val="36"/>
        </w:rPr>
        <w:t>“Dyeing Small</w:t>
      </w:r>
      <w:r>
        <w:rPr>
          <w:b/>
          <w:spacing w:val="-2"/>
          <w:sz w:val="36"/>
        </w:rPr>
        <w:t> </w:t>
      </w:r>
      <w:r>
        <w:rPr>
          <w:b/>
          <w:sz w:val="36"/>
        </w:rPr>
        <w:t>Batches”</w:t>
      </w:r>
    </w:p>
    <w:p>
      <w:pPr>
        <w:pStyle w:val="ListParagraph"/>
        <w:numPr>
          <w:ilvl w:val="0"/>
          <w:numId w:val="1"/>
        </w:numPr>
        <w:tabs>
          <w:tab w:pos="1192" w:val="left" w:leader="none"/>
          <w:tab w:pos="1193" w:val="left" w:leader="none"/>
        </w:tabs>
        <w:spacing w:line="240" w:lineRule="auto" w:before="218" w:after="0"/>
        <w:ind w:left="1192" w:right="0" w:hanging="711"/>
        <w:jc w:val="left"/>
        <w:rPr>
          <w:rFonts w:ascii="Symbol" w:hAnsi="Symbol"/>
          <w:b/>
          <w:sz w:val="36"/>
        </w:rPr>
      </w:pPr>
      <w:r>
        <w:rPr>
          <w:b/>
          <w:sz w:val="36"/>
        </w:rPr>
        <w:t>“Circular Economy in the textile &amp; clothing</w:t>
      </w:r>
      <w:r>
        <w:rPr>
          <w:b/>
          <w:spacing w:val="-8"/>
          <w:sz w:val="36"/>
        </w:rPr>
        <w:t> </w:t>
      </w:r>
      <w:r>
        <w:rPr>
          <w:b/>
          <w:sz w:val="36"/>
        </w:rPr>
        <w:t>sector”</w:t>
      </w:r>
    </w:p>
    <w:p>
      <w:pPr>
        <w:pStyle w:val="BodyText"/>
        <w:rPr>
          <w:b/>
          <w:sz w:val="20"/>
        </w:rPr>
      </w:pPr>
    </w:p>
    <w:p>
      <w:pPr>
        <w:pStyle w:val="BodyText"/>
        <w:rPr>
          <w:b/>
          <w:sz w:val="20"/>
        </w:rPr>
      </w:pPr>
    </w:p>
    <w:p>
      <w:pPr>
        <w:pStyle w:val="BodyText"/>
        <w:rPr>
          <w:b/>
          <w:sz w:val="20"/>
        </w:rPr>
      </w:pPr>
    </w:p>
    <w:p>
      <w:pPr>
        <w:pStyle w:val="BodyText"/>
        <w:spacing w:before="7"/>
        <w:rPr>
          <w:b/>
          <w:sz w:val="29"/>
        </w:rPr>
      </w:pPr>
    </w:p>
    <w:p>
      <w:pPr>
        <w:spacing w:before="27"/>
        <w:ind w:left="3031" w:right="0" w:firstLine="0"/>
        <w:jc w:val="left"/>
        <w:rPr>
          <w:b/>
          <w:sz w:val="36"/>
        </w:rPr>
      </w:pPr>
      <w:r>
        <w:rPr>
          <w:rFonts w:ascii="Times New Roman" w:hAnsi="Times New Roman"/>
          <w:spacing w:val="-90"/>
          <w:sz w:val="36"/>
          <w:shd w:fill="FFFF00" w:color="auto" w:val="clear"/>
        </w:rPr>
        <w:t> </w:t>
      </w:r>
      <w:r>
        <w:rPr>
          <w:b/>
          <w:sz w:val="36"/>
          <w:shd w:fill="FFFF00" w:color="auto" w:val="clear"/>
        </w:rPr>
        <w:t>MOU REF: …/…..</w:t>
      </w:r>
    </w:p>
    <w:p>
      <w:pPr>
        <w:spacing w:after="0"/>
        <w:jc w:val="left"/>
        <w:rPr>
          <w:sz w:val="36"/>
        </w:rPr>
        <w:sectPr>
          <w:headerReference w:type="default" r:id="rId5"/>
          <w:type w:val="continuous"/>
          <w:pgSz w:w="11910" w:h="16840"/>
          <w:pgMar w:header="0" w:top="1680" w:bottom="0" w:left="1220" w:right="1300"/>
        </w:sectPr>
      </w:pPr>
    </w:p>
    <w:p>
      <w:pPr>
        <w:pStyle w:val="BodyText"/>
        <w:rPr>
          <w:b/>
          <w:sz w:val="20"/>
        </w:rPr>
      </w:pPr>
    </w:p>
    <w:p>
      <w:pPr>
        <w:pStyle w:val="BodyText"/>
        <w:rPr>
          <w:b/>
          <w:sz w:val="20"/>
        </w:rPr>
      </w:pPr>
    </w:p>
    <w:p>
      <w:pPr>
        <w:pStyle w:val="BodyText"/>
        <w:spacing w:before="11"/>
        <w:rPr>
          <w:b/>
          <w:sz w:val="27"/>
        </w:rPr>
      </w:pPr>
    </w:p>
    <w:p>
      <w:pPr>
        <w:pStyle w:val="BodyText"/>
        <w:spacing w:line="276" w:lineRule="auto" w:before="57"/>
        <w:ind w:left="198"/>
      </w:pPr>
      <w:r>
        <w:rPr/>
        <w:t>This Memorandum of Understanding (MOU) sets for the terms and understanding between the following parties:</w:t>
      </w:r>
    </w:p>
    <w:p>
      <w:pPr>
        <w:pStyle w:val="BodyText"/>
        <w:spacing w:before="3"/>
        <w:rPr>
          <w:sz w:val="25"/>
        </w:rPr>
      </w:pPr>
    </w:p>
    <w:p>
      <w:pPr>
        <w:pStyle w:val="ListParagraph"/>
        <w:numPr>
          <w:ilvl w:val="0"/>
          <w:numId w:val="2"/>
        </w:numPr>
        <w:tabs>
          <w:tab w:pos="919" w:val="left" w:leader="none"/>
        </w:tabs>
        <w:spacing w:line="240" w:lineRule="auto" w:before="0" w:after="0"/>
        <w:ind w:left="918" w:right="0" w:hanging="361"/>
        <w:jc w:val="left"/>
        <w:rPr>
          <w:sz w:val="22"/>
        </w:rPr>
      </w:pPr>
      <w:r>
        <w:rPr>
          <w:sz w:val="22"/>
        </w:rPr>
        <w:t>“Tex-Med</w:t>
      </w:r>
      <w:r>
        <w:rPr>
          <w:spacing w:val="15"/>
          <w:sz w:val="22"/>
        </w:rPr>
        <w:t> </w:t>
      </w:r>
      <w:r>
        <w:rPr>
          <w:sz w:val="22"/>
        </w:rPr>
        <w:t>Alliance</w:t>
      </w:r>
      <w:r>
        <w:rPr>
          <w:spacing w:val="13"/>
          <w:sz w:val="22"/>
        </w:rPr>
        <w:t> </w:t>
      </w:r>
      <w:r>
        <w:rPr>
          <w:sz w:val="22"/>
        </w:rPr>
        <w:t>Project”,</w:t>
      </w:r>
      <w:r>
        <w:rPr>
          <w:spacing w:val="15"/>
          <w:sz w:val="22"/>
        </w:rPr>
        <w:t> </w:t>
      </w:r>
      <w:r>
        <w:rPr>
          <w:sz w:val="22"/>
        </w:rPr>
        <w:t>represented</w:t>
      </w:r>
      <w:r>
        <w:rPr>
          <w:spacing w:val="16"/>
          <w:sz w:val="22"/>
        </w:rPr>
        <w:t> </w:t>
      </w:r>
      <w:r>
        <w:rPr>
          <w:sz w:val="22"/>
        </w:rPr>
        <w:t>by</w:t>
      </w:r>
      <w:r>
        <w:rPr>
          <w:spacing w:val="15"/>
          <w:sz w:val="22"/>
        </w:rPr>
        <w:t> </w:t>
      </w:r>
      <w:r>
        <w:rPr>
          <w:sz w:val="22"/>
        </w:rPr>
        <w:t>the</w:t>
      </w:r>
      <w:r>
        <w:rPr>
          <w:spacing w:val="12"/>
          <w:sz w:val="22"/>
        </w:rPr>
        <w:t> </w:t>
      </w:r>
      <w:r>
        <w:rPr>
          <w:sz w:val="22"/>
        </w:rPr>
        <w:t>Framework</w:t>
      </w:r>
      <w:r>
        <w:rPr>
          <w:spacing w:val="16"/>
          <w:sz w:val="22"/>
        </w:rPr>
        <w:t> </w:t>
      </w:r>
      <w:r>
        <w:rPr>
          <w:sz w:val="22"/>
        </w:rPr>
        <w:t>Initiative’s</w:t>
      </w:r>
      <w:r>
        <w:rPr>
          <w:spacing w:val="15"/>
          <w:sz w:val="22"/>
        </w:rPr>
        <w:t> </w:t>
      </w:r>
      <w:r>
        <w:rPr>
          <w:sz w:val="22"/>
        </w:rPr>
        <w:t>Coordinating</w:t>
      </w:r>
      <w:r>
        <w:rPr>
          <w:spacing w:val="14"/>
          <w:sz w:val="22"/>
        </w:rPr>
        <w:t> </w:t>
      </w:r>
      <w:r>
        <w:rPr>
          <w:sz w:val="22"/>
        </w:rPr>
        <w:t>Partner</w:t>
      </w:r>
    </w:p>
    <w:p>
      <w:pPr>
        <w:spacing w:before="41"/>
        <w:ind w:left="918" w:right="0" w:firstLine="0"/>
        <w:jc w:val="left"/>
        <w:rPr>
          <w:i/>
          <w:sz w:val="22"/>
        </w:rPr>
      </w:pPr>
      <w:r>
        <w:rPr>
          <w:i/>
          <w:sz w:val="22"/>
        </w:rPr>
        <w:t>(i.e.; ACI, mfcpole, CETTEX, CTN)</w:t>
      </w:r>
    </w:p>
    <w:p>
      <w:pPr>
        <w:pStyle w:val="BodyText"/>
        <w:spacing w:before="6"/>
        <w:rPr>
          <w:i/>
          <w:sz w:val="28"/>
        </w:rPr>
      </w:pPr>
    </w:p>
    <w:p>
      <w:pPr>
        <w:pStyle w:val="ListParagraph"/>
        <w:numPr>
          <w:ilvl w:val="0"/>
          <w:numId w:val="2"/>
        </w:numPr>
        <w:tabs>
          <w:tab w:pos="919" w:val="left" w:leader="none"/>
        </w:tabs>
        <w:spacing w:line="240" w:lineRule="auto" w:before="1" w:after="0"/>
        <w:ind w:left="918" w:right="0" w:hanging="361"/>
        <w:jc w:val="left"/>
        <w:rPr>
          <w:i/>
          <w:sz w:val="22"/>
        </w:rPr>
      </w:pPr>
      <w:r>
        <w:rPr>
          <w:i/>
          <w:sz w:val="22"/>
        </w:rPr>
        <w:t>Name of the Enterprise or Business Representative</w:t>
      </w:r>
      <w:r>
        <w:rPr>
          <w:i/>
          <w:spacing w:val="-7"/>
          <w:sz w:val="22"/>
        </w:rPr>
        <w:t> </w:t>
      </w:r>
      <w:r>
        <w:rPr>
          <w:i/>
          <w:sz w:val="22"/>
        </w:rPr>
        <w:t>Organization</w:t>
      </w:r>
    </w:p>
    <w:p>
      <w:pPr>
        <w:pStyle w:val="BodyText"/>
        <w:spacing w:before="8"/>
        <w:rPr>
          <w:i/>
          <w:sz w:val="28"/>
        </w:rPr>
      </w:pPr>
    </w:p>
    <w:p>
      <w:pPr>
        <w:pStyle w:val="BodyText"/>
        <w:ind w:left="198"/>
      </w:pPr>
      <w:r>
        <w:rPr/>
        <w:t>for a cross-border cooperation initiative, as settled hereinafter.</w:t>
      </w:r>
    </w:p>
    <w:p>
      <w:pPr>
        <w:pStyle w:val="BodyText"/>
        <w:spacing w:before="7"/>
        <w:rPr>
          <w:sz w:val="28"/>
        </w:rPr>
      </w:pPr>
    </w:p>
    <w:p>
      <w:pPr>
        <w:pStyle w:val="Heading2"/>
      </w:pPr>
      <w:r>
        <w:rPr/>
        <w:t>Background.</w:t>
      </w:r>
    </w:p>
    <w:p>
      <w:pPr>
        <w:pStyle w:val="BodyText"/>
        <w:spacing w:before="162"/>
        <w:ind w:left="198"/>
      </w:pPr>
      <w:r>
        <w:rPr/>
        <w:t>“Tex-Med Alliances - is a project funded by the EU ENI CBCMED Programme.</w:t>
      </w:r>
    </w:p>
    <w:p>
      <w:pPr>
        <w:spacing w:before="158"/>
        <w:ind w:left="198" w:right="229" w:firstLine="0"/>
        <w:jc w:val="both"/>
        <w:rPr>
          <w:sz w:val="22"/>
        </w:rPr>
      </w:pPr>
      <w:r>
        <w:rPr>
          <w:sz w:val="22"/>
        </w:rPr>
        <w:t>The TEX-MED ALLIANCES </w:t>
      </w:r>
      <w:r>
        <w:rPr>
          <w:b/>
          <w:sz w:val="22"/>
        </w:rPr>
        <w:t>objective </w:t>
      </w:r>
      <w:r>
        <w:rPr>
          <w:sz w:val="22"/>
        </w:rPr>
        <w:t>is to design, implement and support </w:t>
      </w:r>
      <w:r>
        <w:rPr>
          <w:b/>
          <w:sz w:val="22"/>
        </w:rPr>
        <w:t>Cross-Border Cooperation (CBC) initiatives </w:t>
      </w:r>
      <w:r>
        <w:rPr>
          <w:sz w:val="22"/>
        </w:rPr>
        <w:t>aiming at establishing new </w:t>
      </w:r>
      <w:r>
        <w:rPr>
          <w:b/>
          <w:sz w:val="22"/>
        </w:rPr>
        <w:t>Euro-Mediterranean Alliances </w:t>
      </w:r>
      <w:r>
        <w:rPr>
          <w:sz w:val="22"/>
        </w:rPr>
        <w:t>among enterprises and other economic organizations. TEX-MED ALLIANCES identified “</w:t>
      </w:r>
      <w:r>
        <w:rPr>
          <w:b/>
          <w:sz w:val="22"/>
        </w:rPr>
        <w:t>Framework CBC Initiatives </w:t>
      </w:r>
      <w:r>
        <w:rPr>
          <w:sz w:val="22"/>
        </w:rPr>
        <w:t>are:</w:t>
      </w:r>
    </w:p>
    <w:p>
      <w:pPr>
        <w:pStyle w:val="BodyText"/>
        <w:spacing w:before="11"/>
        <w:rPr>
          <w:sz w:val="31"/>
        </w:rPr>
      </w:pPr>
    </w:p>
    <w:p>
      <w:pPr>
        <w:pStyle w:val="Heading2"/>
      </w:pPr>
      <w:r>
        <w:rPr/>
        <w:t>“Fashion Restart”:</w:t>
      </w:r>
    </w:p>
    <w:p>
      <w:pPr>
        <w:pStyle w:val="BodyText"/>
        <w:spacing w:line="360" w:lineRule="auto" w:before="135"/>
        <w:ind w:left="198" w:right="323"/>
      </w:pPr>
      <w:r>
        <w:rPr/>
        <w:t>Fashion Restart has the objective of supporting SMEs in the recovering of their business after the slow down due to the Covid 19 pandemic and concurrently strengthen their market position by the development of their own collection and brands in the domestic and international markets. The actual goal of the initiative is to set up an alliance among SMEs for the development of own collections and brands.</w:t>
      </w:r>
    </w:p>
    <w:p>
      <w:pPr>
        <w:pStyle w:val="BodyText"/>
      </w:pPr>
    </w:p>
    <w:p>
      <w:pPr>
        <w:pStyle w:val="BodyText"/>
        <w:spacing w:before="6"/>
        <w:rPr>
          <w:sz w:val="29"/>
        </w:rPr>
      </w:pPr>
    </w:p>
    <w:p>
      <w:pPr>
        <w:pStyle w:val="Heading2"/>
      </w:pPr>
      <w:r>
        <w:rPr/>
        <w:t>“Health Emergencies”</w:t>
      </w:r>
    </w:p>
    <w:p>
      <w:pPr>
        <w:pStyle w:val="BodyText"/>
        <w:spacing w:line="360" w:lineRule="auto" w:before="135"/>
        <w:ind w:left="198" w:right="701"/>
      </w:pPr>
      <w:r>
        <w:rPr/>
        <w:t>Health Emergencies has the goal to establish a cluster of SMEs specialized in Health/protection textiles able to provide quick and qualifies supplies in case of outbreaks of infections and/or epidemics and/or pandemics.</w:t>
      </w:r>
    </w:p>
    <w:p>
      <w:pPr>
        <w:pStyle w:val="BodyText"/>
      </w:pPr>
    </w:p>
    <w:p>
      <w:pPr>
        <w:pStyle w:val="BodyText"/>
        <w:spacing w:before="5"/>
        <w:rPr>
          <w:sz w:val="29"/>
        </w:rPr>
      </w:pPr>
    </w:p>
    <w:p>
      <w:pPr>
        <w:pStyle w:val="Heading2"/>
        <w:jc w:val="both"/>
      </w:pPr>
      <w:r>
        <w:rPr/>
        <w:t>“Dyeing Small Batches”</w:t>
      </w:r>
    </w:p>
    <w:p>
      <w:pPr>
        <w:pStyle w:val="BodyText"/>
        <w:spacing w:line="360" w:lineRule="auto" w:before="135"/>
        <w:ind w:left="198" w:right="136"/>
        <w:jc w:val="both"/>
      </w:pPr>
      <w:r>
        <w:rPr/>
        <w:t>Dyeing Small Batches is focused on the improvement of technical skills of SMEs in the finishing phase of dyeing, in particular for small items and for small quantities. Its goal is to enable a number of SMEs to add value to their production.</w:t>
      </w:r>
    </w:p>
    <w:p>
      <w:pPr>
        <w:spacing w:after="0" w:line="360" w:lineRule="auto"/>
        <w:jc w:val="both"/>
        <w:sectPr>
          <w:headerReference w:type="default" r:id="rId7"/>
          <w:footerReference w:type="default" r:id="rId8"/>
          <w:pgSz w:w="11910" w:h="16840"/>
          <w:pgMar w:header="0" w:footer="493" w:top="1680" w:bottom="680" w:left="1220" w:right="1300"/>
          <w:pgNumType w:start="2"/>
        </w:sectPr>
      </w:pPr>
    </w:p>
    <w:p>
      <w:pPr>
        <w:pStyle w:val="BodyText"/>
        <w:spacing w:before="5"/>
        <w:rPr>
          <w:sz w:val="17"/>
        </w:rPr>
      </w:pPr>
    </w:p>
    <w:p>
      <w:pPr>
        <w:pStyle w:val="Heading2"/>
        <w:spacing w:before="56"/>
      </w:pPr>
      <w:r>
        <w:rPr/>
        <w:t>“Circular Economy in the textile &amp; clothing sector</w:t>
      </w:r>
    </w:p>
    <w:p>
      <w:pPr>
        <w:pStyle w:val="BodyText"/>
        <w:spacing w:line="360" w:lineRule="auto" w:before="135"/>
        <w:ind w:left="198" w:right="188"/>
      </w:pPr>
      <w:r>
        <w:rPr/>
        <w:t>Circular Economy in the T/C sector is mainly concerned in recycling or giving a “second life” to stocks of raw materials, discarded items and used equipment. The ultimate goal is to set up an alliance, supported by a virtual marketplace, among potential supplier and potential customers in order to give continuity to such deals.</w:t>
      </w:r>
    </w:p>
    <w:p>
      <w:pPr>
        <w:pStyle w:val="BodyText"/>
      </w:pPr>
    </w:p>
    <w:p>
      <w:pPr>
        <w:pStyle w:val="BodyText"/>
        <w:spacing w:before="7"/>
        <w:rPr>
          <w:sz w:val="19"/>
        </w:rPr>
      </w:pPr>
    </w:p>
    <w:p>
      <w:pPr>
        <w:pStyle w:val="Heading2"/>
      </w:pPr>
      <w:r>
        <w:rPr/>
        <w:t>Purpose of the MoU.</w:t>
      </w:r>
    </w:p>
    <w:p>
      <w:pPr>
        <w:pStyle w:val="BodyText"/>
        <w:spacing w:line="273" w:lineRule="auto" w:before="41"/>
        <w:ind w:left="198"/>
      </w:pPr>
      <w:r>
        <w:rPr/>
        <w:t>By this MoU, the underwriting MSMEs/BROs will contribute to the actual implementation of the selected Initiative, under the direction of the Framework Initiative’s Coordinating Partner.</w:t>
      </w:r>
    </w:p>
    <w:p>
      <w:pPr>
        <w:pStyle w:val="BodyText"/>
        <w:spacing w:before="125"/>
        <w:ind w:left="198"/>
      </w:pPr>
      <w:r>
        <w:rPr/>
        <w:t>By these MoU, the </w:t>
      </w:r>
      <w:r>
        <w:rPr>
          <w:u w:val="single"/>
        </w:rPr>
        <w:t>Project</w:t>
      </w:r>
      <w:r>
        <w:rPr/>
        <w:t> provides to SME/BRO:</w:t>
      </w:r>
    </w:p>
    <w:p>
      <w:pPr>
        <w:pStyle w:val="ListParagraph"/>
        <w:numPr>
          <w:ilvl w:val="0"/>
          <w:numId w:val="1"/>
        </w:numPr>
        <w:tabs>
          <w:tab w:pos="918" w:val="left" w:leader="none"/>
          <w:tab w:pos="919" w:val="left" w:leader="none"/>
        </w:tabs>
        <w:spacing w:line="240" w:lineRule="auto" w:before="162" w:after="0"/>
        <w:ind w:left="918" w:right="0" w:hanging="361"/>
        <w:jc w:val="left"/>
        <w:rPr>
          <w:rFonts w:ascii="Symbol" w:hAnsi="Symbol"/>
          <w:i/>
          <w:sz w:val="22"/>
        </w:rPr>
      </w:pPr>
      <w:r>
        <w:rPr>
          <w:i/>
          <w:sz w:val="22"/>
        </w:rPr>
        <w:t>Networking opportunities with Mediterranean</w:t>
      </w:r>
      <w:r>
        <w:rPr>
          <w:i/>
          <w:spacing w:val="-7"/>
          <w:sz w:val="22"/>
        </w:rPr>
        <w:t> </w:t>
      </w:r>
      <w:r>
        <w:rPr>
          <w:i/>
          <w:sz w:val="22"/>
        </w:rPr>
        <w:t>MSMEs/BROs</w:t>
      </w:r>
    </w:p>
    <w:p>
      <w:pPr>
        <w:pStyle w:val="ListParagraph"/>
        <w:numPr>
          <w:ilvl w:val="0"/>
          <w:numId w:val="1"/>
        </w:numPr>
        <w:tabs>
          <w:tab w:pos="918" w:val="left" w:leader="none"/>
          <w:tab w:pos="919" w:val="left" w:leader="none"/>
        </w:tabs>
        <w:spacing w:line="240" w:lineRule="auto" w:before="159" w:after="0"/>
        <w:ind w:left="918" w:right="0" w:hanging="361"/>
        <w:jc w:val="left"/>
        <w:rPr>
          <w:rFonts w:ascii="Symbol" w:hAnsi="Symbol"/>
          <w:i/>
          <w:sz w:val="22"/>
        </w:rPr>
      </w:pPr>
      <w:r>
        <w:rPr>
          <w:i/>
          <w:sz w:val="22"/>
        </w:rPr>
        <w:t>Technical assistance provided by the Project</w:t>
      </w:r>
      <w:r>
        <w:rPr>
          <w:i/>
          <w:spacing w:val="-3"/>
          <w:sz w:val="22"/>
        </w:rPr>
        <w:t> </w:t>
      </w:r>
      <w:r>
        <w:rPr>
          <w:i/>
          <w:sz w:val="22"/>
        </w:rPr>
        <w:t>team</w:t>
      </w:r>
    </w:p>
    <w:p>
      <w:pPr>
        <w:pStyle w:val="ListParagraph"/>
        <w:numPr>
          <w:ilvl w:val="0"/>
          <w:numId w:val="1"/>
        </w:numPr>
        <w:tabs>
          <w:tab w:pos="918" w:val="left" w:leader="none"/>
          <w:tab w:pos="919" w:val="left" w:leader="none"/>
        </w:tabs>
        <w:spacing w:line="240" w:lineRule="auto" w:before="161" w:after="0"/>
        <w:ind w:left="918" w:right="0" w:hanging="361"/>
        <w:jc w:val="left"/>
        <w:rPr>
          <w:rFonts w:ascii="Symbol" w:hAnsi="Symbol"/>
          <w:i/>
          <w:sz w:val="22"/>
        </w:rPr>
      </w:pPr>
      <w:r>
        <w:rPr>
          <w:i/>
          <w:sz w:val="22"/>
        </w:rPr>
        <w:t>Specialised consultancy services, according to the Initiatives</w:t>
      </w:r>
      <w:r>
        <w:rPr>
          <w:i/>
          <w:spacing w:val="-6"/>
          <w:sz w:val="22"/>
        </w:rPr>
        <w:t> </w:t>
      </w:r>
      <w:r>
        <w:rPr>
          <w:i/>
          <w:sz w:val="22"/>
        </w:rPr>
        <w:t>needs</w:t>
      </w:r>
    </w:p>
    <w:p>
      <w:pPr>
        <w:pStyle w:val="ListParagraph"/>
        <w:numPr>
          <w:ilvl w:val="0"/>
          <w:numId w:val="1"/>
        </w:numPr>
        <w:tabs>
          <w:tab w:pos="918" w:val="left" w:leader="none"/>
          <w:tab w:pos="919" w:val="left" w:leader="none"/>
        </w:tabs>
        <w:spacing w:line="276" w:lineRule="auto" w:before="159" w:after="0"/>
        <w:ind w:left="918" w:right="285" w:hanging="360"/>
        <w:jc w:val="left"/>
        <w:rPr>
          <w:rFonts w:ascii="Symbol" w:hAnsi="Symbol"/>
          <w:i/>
          <w:sz w:val="22"/>
        </w:rPr>
      </w:pPr>
      <w:r>
        <w:rPr>
          <w:i/>
          <w:sz w:val="22"/>
        </w:rPr>
        <w:t>Financial contribution (sub-grant) to cover costs for the implementation of Initiative outputs </w:t>
      </w:r>
      <w:r>
        <w:rPr>
          <w:i/>
          <w:sz w:val="22"/>
        </w:rPr>
        <w:t>or</w:t>
      </w:r>
      <w:r>
        <w:rPr>
          <w:i/>
          <w:spacing w:val="-1"/>
          <w:sz w:val="22"/>
        </w:rPr>
        <w:t> </w:t>
      </w:r>
      <w:r>
        <w:rPr>
          <w:i/>
          <w:sz w:val="22"/>
        </w:rPr>
        <w:t>activities</w:t>
      </w:r>
      <w:r>
        <w:rPr>
          <w:i/>
          <w:sz w:val="22"/>
          <w:vertAlign w:val="superscript"/>
        </w:rPr>
        <w:t>1</w:t>
      </w:r>
      <w:r>
        <w:rPr>
          <w:i/>
          <w:sz w:val="22"/>
          <w:vertAlign w:val="baseline"/>
        </w:rPr>
        <w:t>.</w:t>
      </w:r>
    </w:p>
    <w:p>
      <w:pPr>
        <w:pStyle w:val="BodyText"/>
        <w:rPr>
          <w:i/>
          <w:sz w:val="24"/>
        </w:rPr>
      </w:pPr>
    </w:p>
    <w:p>
      <w:pPr>
        <w:pStyle w:val="BodyText"/>
        <w:spacing w:before="11"/>
        <w:rPr>
          <w:i/>
          <w:sz w:val="20"/>
        </w:rPr>
      </w:pPr>
    </w:p>
    <w:p>
      <w:pPr>
        <w:pStyle w:val="BodyText"/>
        <w:ind w:left="198"/>
      </w:pPr>
      <w:r>
        <w:rPr/>
        <w:t>The </w:t>
      </w:r>
      <w:r>
        <w:rPr>
          <w:u w:val="single"/>
        </w:rPr>
        <w:t>SME/BRO</w:t>
      </w:r>
      <w:r>
        <w:rPr/>
        <w:t> commits to:</w:t>
      </w:r>
    </w:p>
    <w:p>
      <w:pPr>
        <w:pStyle w:val="ListParagraph"/>
        <w:numPr>
          <w:ilvl w:val="0"/>
          <w:numId w:val="1"/>
        </w:numPr>
        <w:tabs>
          <w:tab w:pos="918" w:val="left" w:leader="none"/>
          <w:tab w:pos="919" w:val="left" w:leader="none"/>
        </w:tabs>
        <w:spacing w:line="240" w:lineRule="auto" w:before="162" w:after="0"/>
        <w:ind w:left="918" w:right="0" w:hanging="361"/>
        <w:jc w:val="left"/>
        <w:rPr>
          <w:rFonts w:ascii="Symbol" w:hAnsi="Symbol"/>
          <w:i/>
          <w:sz w:val="22"/>
        </w:rPr>
      </w:pPr>
      <w:r>
        <w:rPr>
          <w:i/>
          <w:sz w:val="22"/>
        </w:rPr>
        <w:t>Contribute to the achievement of the Initiative’s</w:t>
      </w:r>
      <w:r>
        <w:rPr>
          <w:i/>
          <w:spacing w:val="-7"/>
          <w:sz w:val="22"/>
        </w:rPr>
        <w:t> </w:t>
      </w:r>
      <w:r>
        <w:rPr>
          <w:i/>
          <w:sz w:val="22"/>
        </w:rPr>
        <w:t>objectives</w:t>
      </w:r>
    </w:p>
    <w:p>
      <w:pPr>
        <w:pStyle w:val="ListParagraph"/>
        <w:numPr>
          <w:ilvl w:val="0"/>
          <w:numId w:val="1"/>
        </w:numPr>
        <w:tabs>
          <w:tab w:pos="918" w:val="left" w:leader="none"/>
          <w:tab w:pos="919" w:val="left" w:leader="none"/>
        </w:tabs>
        <w:spacing w:line="240" w:lineRule="auto" w:before="161" w:after="0"/>
        <w:ind w:left="918" w:right="0" w:hanging="361"/>
        <w:jc w:val="left"/>
        <w:rPr>
          <w:rFonts w:ascii="Symbol" w:hAnsi="Symbol"/>
          <w:i/>
          <w:sz w:val="22"/>
        </w:rPr>
      </w:pPr>
      <w:r>
        <w:rPr>
          <w:i/>
          <w:sz w:val="22"/>
        </w:rPr>
        <w:t>Share with other participating SMEs any knowledge/practice arising from of the</w:t>
      </w:r>
      <w:r>
        <w:rPr>
          <w:i/>
          <w:spacing w:val="-15"/>
          <w:sz w:val="22"/>
        </w:rPr>
        <w:t> </w:t>
      </w:r>
      <w:r>
        <w:rPr>
          <w:i/>
          <w:sz w:val="22"/>
        </w:rPr>
        <w:t>Initiative</w:t>
      </w:r>
    </w:p>
    <w:p>
      <w:pPr>
        <w:pStyle w:val="ListParagraph"/>
        <w:numPr>
          <w:ilvl w:val="0"/>
          <w:numId w:val="1"/>
        </w:numPr>
        <w:tabs>
          <w:tab w:pos="918" w:val="left" w:leader="none"/>
          <w:tab w:pos="919" w:val="left" w:leader="none"/>
        </w:tabs>
        <w:spacing w:line="276" w:lineRule="auto" w:before="159" w:after="0"/>
        <w:ind w:left="918" w:right="181" w:hanging="360"/>
        <w:jc w:val="left"/>
        <w:rPr>
          <w:rFonts w:ascii="Symbol" w:hAnsi="Symbol"/>
          <w:i/>
          <w:sz w:val="22"/>
        </w:rPr>
      </w:pPr>
      <w:r>
        <w:rPr>
          <w:i/>
          <w:sz w:val="22"/>
        </w:rPr>
        <w:t>Participate to an Alliance with other SMEs in order to give continuity and sustainability to the </w:t>
      </w:r>
      <w:r>
        <w:rPr>
          <w:i/>
          <w:sz w:val="22"/>
        </w:rPr>
        <w:t>CBC Initiative (according to the positive outcomes of the</w:t>
      </w:r>
      <w:r>
        <w:rPr>
          <w:i/>
          <w:spacing w:val="-12"/>
          <w:sz w:val="22"/>
        </w:rPr>
        <w:t> </w:t>
      </w:r>
      <w:r>
        <w:rPr>
          <w:i/>
          <w:sz w:val="22"/>
        </w:rPr>
        <w:t>Initiative)</w:t>
      </w:r>
    </w:p>
    <w:p>
      <w:pPr>
        <w:pStyle w:val="BodyText"/>
        <w:rPr>
          <w:i/>
        </w:rPr>
      </w:pPr>
    </w:p>
    <w:p>
      <w:pPr>
        <w:pStyle w:val="BodyText"/>
        <w:spacing w:before="7"/>
        <w:rPr>
          <w:i/>
          <w:sz w:val="19"/>
        </w:rPr>
      </w:pPr>
    </w:p>
    <w:p>
      <w:pPr>
        <w:pStyle w:val="Heading2"/>
        <w:spacing w:before="1"/>
      </w:pPr>
      <w:r>
        <w:rPr/>
        <w:t>Duration.</w:t>
      </w:r>
    </w:p>
    <w:p>
      <w:pPr>
        <w:pStyle w:val="BodyText"/>
        <w:spacing w:before="120"/>
        <w:ind w:left="198" w:right="186"/>
      </w:pPr>
      <w:r>
        <w:rPr/>
        <w:t>This MOU is effective upon signature by the parties and will remain in effect until the signature of an Alliance, or until the end of the TEX-MED Alliance Project.</w:t>
      </w:r>
    </w:p>
    <w:p>
      <w:pPr>
        <w:pStyle w:val="BodyText"/>
        <w:spacing w:before="120"/>
        <w:ind w:left="198"/>
      </w:pPr>
      <w:r>
        <w:rPr/>
        <w:t>This MOU may be modified by mutual consent of the parties.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6"/>
        </w:rPr>
      </w:pPr>
      <w:r>
        <w:rPr/>
        <w:pict>
          <v:rect style="position:absolute;margin-left:70.944pt;margin-top:18.044003pt;width:144.020pt;height:.72003pt;mso-position-horizontal-relative:page;mso-position-vertical-relative:paragraph;z-index:-15728128;mso-wrap-distance-left:0;mso-wrap-distance-right:0" filled="true" fillcolor="#000000" stroked="false">
            <v:fill type="solid"/>
            <w10:wrap type="topAndBottom"/>
          </v:rect>
        </w:pict>
      </w:r>
    </w:p>
    <w:p>
      <w:pPr>
        <w:spacing w:before="71"/>
        <w:ind w:left="198" w:right="323" w:firstLine="0"/>
        <w:jc w:val="left"/>
        <w:rPr>
          <w:i/>
          <w:sz w:val="22"/>
        </w:rPr>
      </w:pPr>
      <w:r>
        <w:rPr>
          <w:sz w:val="22"/>
          <w:vertAlign w:val="superscript"/>
        </w:rPr>
        <w:t>1</w:t>
      </w:r>
      <w:r>
        <w:rPr>
          <w:sz w:val="22"/>
          <w:vertAlign w:val="baseline"/>
        </w:rPr>
        <w:t> </w:t>
      </w:r>
      <w:r>
        <w:rPr>
          <w:i/>
          <w:sz w:val="22"/>
          <w:vertAlign w:val="baseline"/>
        </w:rPr>
        <w:t>The sub-grant awarding requires the submission of an application form and is subject to the </w:t>
      </w:r>
      <w:r>
        <w:rPr>
          <w:i/>
          <w:sz w:val="22"/>
          <w:vertAlign w:val="baseline"/>
        </w:rPr>
        <w:t>approval by the Project.</w:t>
      </w:r>
    </w:p>
    <w:p>
      <w:pPr>
        <w:spacing w:after="0"/>
        <w:jc w:val="left"/>
        <w:rPr>
          <w:sz w:val="22"/>
        </w:rPr>
        <w:sectPr>
          <w:pgSz w:w="11910" w:h="16840"/>
          <w:pgMar w:header="0" w:footer="493" w:top="1680" w:bottom="720" w:left="1220" w:right="1300"/>
        </w:sectPr>
      </w:pPr>
    </w:p>
    <w:p>
      <w:pPr>
        <w:pStyle w:val="BodyText"/>
        <w:rPr>
          <w:i/>
          <w:sz w:val="20"/>
        </w:rPr>
      </w:pPr>
    </w:p>
    <w:p>
      <w:pPr>
        <w:pStyle w:val="BodyText"/>
        <w:rPr>
          <w:i/>
          <w:sz w:val="20"/>
        </w:rPr>
      </w:pPr>
    </w:p>
    <w:p>
      <w:pPr>
        <w:pStyle w:val="BodyText"/>
        <w:spacing w:before="5"/>
        <w:rPr>
          <w:i/>
          <w:sz w:val="17"/>
        </w:rPr>
      </w:pPr>
    </w:p>
    <w:tbl>
      <w:tblPr>
        <w:tblW w:w="0" w:type="auto"/>
        <w:jc w:val="left"/>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16"/>
        <w:gridCol w:w="4416"/>
      </w:tblGrid>
      <w:tr>
        <w:trPr>
          <w:trHeight w:val="424" w:hRule="atLeast"/>
        </w:trPr>
        <w:tc>
          <w:tcPr>
            <w:tcW w:w="4416" w:type="dxa"/>
          </w:tcPr>
          <w:p>
            <w:pPr>
              <w:pStyle w:val="TableParagraph"/>
              <w:spacing w:line="225" w:lineRule="exact"/>
              <w:ind w:left="200"/>
              <w:rPr>
                <w:b/>
                <w:sz w:val="22"/>
              </w:rPr>
            </w:pPr>
            <w:r>
              <w:rPr>
                <w:b/>
                <w:sz w:val="22"/>
              </w:rPr>
              <w:t>Party 1 : on behalf of TMA Project:</w:t>
            </w:r>
          </w:p>
        </w:tc>
        <w:tc>
          <w:tcPr>
            <w:tcW w:w="4416" w:type="dxa"/>
          </w:tcPr>
          <w:p>
            <w:pPr>
              <w:pStyle w:val="TableParagraph"/>
              <w:spacing w:line="225" w:lineRule="exact"/>
              <w:ind w:left="673"/>
              <w:rPr>
                <w:b/>
                <w:sz w:val="22"/>
              </w:rPr>
            </w:pPr>
            <w:r>
              <w:rPr>
                <w:b/>
                <w:sz w:val="22"/>
              </w:rPr>
              <w:t>Party 2 (MSME or BRO)</w:t>
            </w:r>
          </w:p>
        </w:tc>
      </w:tr>
      <w:tr>
        <w:trPr>
          <w:trHeight w:val="2717" w:hRule="atLeast"/>
        </w:trPr>
        <w:tc>
          <w:tcPr>
            <w:tcW w:w="4416" w:type="dxa"/>
          </w:tcPr>
          <w:p>
            <w:pPr>
              <w:pStyle w:val="TableParagraph"/>
              <w:tabs>
                <w:tab w:pos="1666" w:val="left" w:leader="none"/>
              </w:tabs>
              <w:spacing w:before="160"/>
              <w:ind w:left="200"/>
              <w:rPr>
                <w:sz w:val="22"/>
              </w:rPr>
            </w:pPr>
            <w:r>
              <w:rPr>
                <w:sz w:val="22"/>
              </w:rPr>
              <w:t>Organization:</w:t>
              <w:tab/>
              <w:t>…………………………………</w:t>
            </w:r>
          </w:p>
          <w:p>
            <w:pPr>
              <w:pStyle w:val="TableParagraph"/>
              <w:spacing w:before="6"/>
              <w:rPr>
                <w:i/>
                <w:sz w:val="30"/>
              </w:rPr>
            </w:pPr>
          </w:p>
          <w:p>
            <w:pPr>
              <w:pStyle w:val="TableParagraph"/>
              <w:tabs>
                <w:tab w:pos="1615" w:val="left" w:leader="none"/>
              </w:tabs>
              <w:ind w:left="200"/>
              <w:rPr>
                <w:sz w:val="22"/>
              </w:rPr>
            </w:pPr>
            <w:r>
              <w:rPr>
                <w:sz w:val="22"/>
              </w:rPr>
              <w:t>Address:</w:t>
              <w:tab/>
              <w:t>……………………………………</w:t>
            </w:r>
          </w:p>
          <w:p>
            <w:pPr>
              <w:pStyle w:val="TableParagraph"/>
              <w:spacing w:before="8"/>
              <w:rPr>
                <w:i/>
                <w:sz w:val="30"/>
              </w:rPr>
            </w:pPr>
          </w:p>
          <w:p>
            <w:pPr>
              <w:pStyle w:val="TableParagraph"/>
              <w:tabs>
                <w:tab w:pos="1615" w:val="left" w:leader="none"/>
              </w:tabs>
              <w:ind w:left="200"/>
              <w:rPr>
                <w:sz w:val="22"/>
              </w:rPr>
            </w:pPr>
            <w:r>
              <w:rPr>
                <w:sz w:val="22"/>
              </w:rPr>
              <w:t>Telephone:</w:t>
              <w:tab/>
              <w:t>…………………………………</w:t>
            </w:r>
          </w:p>
          <w:p>
            <w:pPr>
              <w:pStyle w:val="TableParagraph"/>
              <w:spacing w:before="9"/>
              <w:rPr>
                <w:i/>
                <w:sz w:val="30"/>
              </w:rPr>
            </w:pPr>
          </w:p>
          <w:p>
            <w:pPr>
              <w:pStyle w:val="TableParagraph"/>
              <w:tabs>
                <w:tab w:pos="1615" w:val="left" w:leader="none"/>
              </w:tabs>
              <w:ind w:left="200"/>
              <w:rPr>
                <w:sz w:val="22"/>
              </w:rPr>
            </w:pPr>
            <w:r>
              <w:rPr>
                <w:sz w:val="22"/>
              </w:rPr>
              <w:t>E-mail:</w:t>
              <w:tab/>
              <w:t>…………………………………</w:t>
            </w:r>
          </w:p>
        </w:tc>
        <w:tc>
          <w:tcPr>
            <w:tcW w:w="4416" w:type="dxa"/>
          </w:tcPr>
          <w:p>
            <w:pPr>
              <w:pStyle w:val="TableParagraph"/>
              <w:spacing w:before="7"/>
              <w:rPr>
                <w:i/>
                <w:sz w:val="18"/>
              </w:rPr>
            </w:pPr>
          </w:p>
          <w:p>
            <w:pPr>
              <w:pStyle w:val="TableParagraph"/>
              <w:tabs>
                <w:tab w:pos="2140" w:val="left" w:leader="none"/>
              </w:tabs>
              <w:ind w:left="673"/>
              <w:rPr>
                <w:sz w:val="22"/>
              </w:rPr>
            </w:pPr>
            <w:r>
              <w:rPr>
                <w:sz w:val="22"/>
              </w:rPr>
              <w:t>Organization:</w:t>
              <w:tab/>
              <w:t>…………………………………</w:t>
            </w:r>
          </w:p>
          <w:p>
            <w:pPr>
              <w:pStyle w:val="TableParagraph"/>
              <w:spacing w:before="6"/>
              <w:rPr>
                <w:i/>
                <w:sz w:val="30"/>
              </w:rPr>
            </w:pPr>
          </w:p>
          <w:p>
            <w:pPr>
              <w:pStyle w:val="TableParagraph"/>
              <w:tabs>
                <w:tab w:pos="2089" w:val="left" w:leader="none"/>
              </w:tabs>
              <w:ind w:left="673"/>
              <w:rPr>
                <w:sz w:val="22"/>
              </w:rPr>
            </w:pPr>
            <w:r>
              <w:rPr>
                <w:sz w:val="22"/>
              </w:rPr>
              <w:t>Address:</w:t>
              <w:tab/>
              <w:t>……………………………………</w:t>
            </w:r>
          </w:p>
          <w:p>
            <w:pPr>
              <w:pStyle w:val="TableParagraph"/>
              <w:spacing w:before="9"/>
              <w:rPr>
                <w:i/>
                <w:sz w:val="30"/>
              </w:rPr>
            </w:pPr>
          </w:p>
          <w:p>
            <w:pPr>
              <w:pStyle w:val="TableParagraph"/>
              <w:tabs>
                <w:tab w:pos="2089" w:val="left" w:leader="none"/>
              </w:tabs>
              <w:ind w:left="673"/>
              <w:rPr>
                <w:sz w:val="22"/>
              </w:rPr>
            </w:pPr>
            <w:r>
              <w:rPr>
                <w:sz w:val="22"/>
              </w:rPr>
              <w:t>Telephone:</w:t>
              <w:tab/>
              <w:t>…………………………………</w:t>
            </w:r>
          </w:p>
          <w:p>
            <w:pPr>
              <w:pStyle w:val="TableParagraph"/>
              <w:spacing w:before="8"/>
              <w:rPr>
                <w:i/>
                <w:sz w:val="30"/>
              </w:rPr>
            </w:pPr>
          </w:p>
          <w:p>
            <w:pPr>
              <w:pStyle w:val="TableParagraph"/>
              <w:tabs>
                <w:tab w:pos="2089" w:val="left" w:leader="none"/>
              </w:tabs>
              <w:ind w:left="673"/>
              <w:rPr>
                <w:sz w:val="22"/>
              </w:rPr>
            </w:pPr>
            <w:r>
              <w:rPr>
                <w:sz w:val="22"/>
              </w:rPr>
              <w:t>E-mail:</w:t>
              <w:tab/>
              <w:t>…………………………………</w:t>
            </w:r>
          </w:p>
        </w:tc>
      </w:tr>
      <w:tr>
        <w:trPr>
          <w:trHeight w:val="2168" w:hRule="atLeast"/>
        </w:trPr>
        <w:tc>
          <w:tcPr>
            <w:tcW w:w="4416" w:type="dxa"/>
          </w:tcPr>
          <w:p>
            <w:pPr>
              <w:pStyle w:val="TableParagraph"/>
              <w:spacing w:before="9"/>
              <w:rPr>
                <w:i/>
                <w:sz w:val="20"/>
              </w:rPr>
            </w:pPr>
          </w:p>
          <w:p>
            <w:pPr>
              <w:pStyle w:val="TableParagraph"/>
              <w:spacing w:before="1"/>
              <w:ind w:left="200"/>
              <w:rPr>
                <w:sz w:val="22"/>
              </w:rPr>
            </w:pPr>
            <w:r>
              <w:rPr>
                <w:sz w:val="22"/>
              </w:rPr>
              <w:t>Represented by: ………………………………</w:t>
            </w:r>
          </w:p>
          <w:p>
            <w:pPr>
              <w:pStyle w:val="TableParagraph"/>
              <w:spacing w:before="8"/>
              <w:rPr>
                <w:i/>
                <w:sz w:val="30"/>
              </w:rPr>
            </w:pPr>
          </w:p>
          <w:p>
            <w:pPr>
              <w:pStyle w:val="TableParagraph"/>
              <w:tabs>
                <w:tab w:pos="1615" w:val="left" w:leader="none"/>
              </w:tabs>
              <w:ind w:left="200"/>
              <w:rPr>
                <w:sz w:val="22"/>
              </w:rPr>
            </w:pPr>
            <w:r>
              <w:rPr>
                <w:sz w:val="22"/>
              </w:rPr>
              <w:t>Position:</w:t>
              <w:tab/>
              <w:t>…………………………………</w:t>
            </w:r>
          </w:p>
          <w:p>
            <w:pPr>
              <w:pStyle w:val="TableParagraph"/>
              <w:spacing w:before="8"/>
              <w:rPr>
                <w:i/>
                <w:sz w:val="30"/>
              </w:rPr>
            </w:pPr>
          </w:p>
          <w:p>
            <w:pPr>
              <w:pStyle w:val="TableParagraph"/>
              <w:tabs>
                <w:tab w:pos="1507" w:val="left" w:leader="none"/>
              </w:tabs>
              <w:ind w:left="200"/>
              <w:rPr>
                <w:sz w:val="22"/>
              </w:rPr>
            </w:pPr>
            <w:r>
              <w:rPr>
                <w:sz w:val="22"/>
              </w:rPr>
              <w:t>Signature:</w:t>
              <w:tab/>
              <w:t>…………………………………</w:t>
            </w:r>
          </w:p>
        </w:tc>
        <w:tc>
          <w:tcPr>
            <w:tcW w:w="4416" w:type="dxa"/>
          </w:tcPr>
          <w:p>
            <w:pPr>
              <w:pStyle w:val="TableParagraph"/>
              <w:spacing w:before="3"/>
              <w:rPr>
                <w:i/>
                <w:sz w:val="26"/>
              </w:rPr>
            </w:pPr>
          </w:p>
          <w:p>
            <w:pPr>
              <w:pStyle w:val="TableParagraph"/>
              <w:spacing w:before="1"/>
              <w:ind w:left="673"/>
              <w:rPr>
                <w:sz w:val="22"/>
              </w:rPr>
            </w:pPr>
            <w:r>
              <w:rPr>
                <w:sz w:val="22"/>
              </w:rPr>
              <w:t>Represented by: ………………………………</w:t>
            </w:r>
          </w:p>
          <w:p>
            <w:pPr>
              <w:pStyle w:val="TableParagraph"/>
              <w:spacing w:before="8"/>
              <w:rPr>
                <w:i/>
                <w:sz w:val="30"/>
              </w:rPr>
            </w:pPr>
          </w:p>
          <w:p>
            <w:pPr>
              <w:pStyle w:val="TableParagraph"/>
              <w:tabs>
                <w:tab w:pos="2089" w:val="left" w:leader="none"/>
              </w:tabs>
              <w:ind w:left="673"/>
              <w:rPr>
                <w:sz w:val="22"/>
              </w:rPr>
            </w:pPr>
            <w:r>
              <w:rPr>
                <w:sz w:val="22"/>
              </w:rPr>
              <w:t>Position:</w:t>
              <w:tab/>
              <w:t>…………………………………</w:t>
            </w:r>
          </w:p>
          <w:p>
            <w:pPr>
              <w:pStyle w:val="TableParagraph"/>
              <w:spacing w:before="8"/>
              <w:rPr>
                <w:i/>
                <w:sz w:val="30"/>
              </w:rPr>
            </w:pPr>
          </w:p>
          <w:p>
            <w:pPr>
              <w:pStyle w:val="TableParagraph"/>
              <w:tabs>
                <w:tab w:pos="1980" w:val="left" w:leader="none"/>
              </w:tabs>
              <w:ind w:left="673"/>
              <w:rPr>
                <w:sz w:val="22"/>
              </w:rPr>
            </w:pPr>
            <w:r>
              <w:rPr>
                <w:sz w:val="22"/>
              </w:rPr>
              <w:t>Signature:</w:t>
              <w:tab/>
              <w:t>…………………………………</w:t>
            </w:r>
          </w:p>
        </w:tc>
      </w:tr>
      <w:tr>
        <w:trPr>
          <w:trHeight w:val="584" w:hRule="atLeast"/>
        </w:trPr>
        <w:tc>
          <w:tcPr>
            <w:tcW w:w="4416" w:type="dxa"/>
          </w:tcPr>
          <w:p>
            <w:pPr>
              <w:pStyle w:val="TableParagraph"/>
              <w:spacing w:before="8"/>
              <w:rPr>
                <w:i/>
                <w:sz w:val="20"/>
              </w:rPr>
            </w:pPr>
          </w:p>
          <w:p>
            <w:pPr>
              <w:pStyle w:val="TableParagraph"/>
              <w:tabs>
                <w:tab w:pos="1428" w:val="left" w:leader="none"/>
              </w:tabs>
              <w:ind w:left="200"/>
              <w:rPr>
                <w:sz w:val="22"/>
              </w:rPr>
            </w:pPr>
            <w:r>
              <w:rPr>
                <w:sz w:val="22"/>
              </w:rPr>
              <w:t>Date:</w:t>
              <w:tab/>
              <w:t>…………………………………</w:t>
            </w:r>
          </w:p>
        </w:tc>
        <w:tc>
          <w:tcPr>
            <w:tcW w:w="4416" w:type="dxa"/>
          </w:tcPr>
          <w:p>
            <w:pPr>
              <w:pStyle w:val="TableParagraph"/>
              <w:spacing w:before="2"/>
              <w:rPr>
                <w:i/>
                <w:sz w:val="26"/>
              </w:rPr>
            </w:pPr>
          </w:p>
          <w:p>
            <w:pPr>
              <w:pStyle w:val="TableParagraph"/>
              <w:tabs>
                <w:tab w:pos="1901" w:val="left" w:leader="none"/>
              </w:tabs>
              <w:spacing w:line="245" w:lineRule="exact"/>
              <w:ind w:left="673"/>
              <w:rPr>
                <w:sz w:val="22"/>
              </w:rPr>
            </w:pPr>
            <w:r>
              <w:rPr>
                <w:sz w:val="22"/>
              </w:rPr>
              <w:t>Date:</w:t>
              <w:tab/>
              <w:t>…………………………………</w:t>
            </w:r>
          </w:p>
        </w:tc>
      </w:tr>
    </w:tbl>
    <w:sectPr>
      <w:pgSz w:w="11910" w:h="16840"/>
      <w:pgMar w:header="0" w:footer="493" w:top="1680" w:bottom="680" w:left="12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92096">
          <wp:simplePos x="0" y="0"/>
          <wp:positionH relativeFrom="page">
            <wp:posOffset>254987</wp:posOffset>
          </wp:positionH>
          <wp:positionV relativeFrom="page">
            <wp:posOffset>10172698</wp:posOffset>
          </wp:positionV>
          <wp:extent cx="7305575" cy="519427"/>
          <wp:effectExtent l="0" t="0" r="0" b="0"/>
          <wp:wrapNone/>
          <wp:docPr id="7" name="image3.jpeg"/>
          <wp:cNvGraphicFramePr>
            <a:graphicFrameLocks noChangeAspect="1"/>
          </wp:cNvGraphicFramePr>
          <a:graphic>
            <a:graphicData uri="http://schemas.openxmlformats.org/drawingml/2006/picture">
              <pic:pic>
                <pic:nvPicPr>
                  <pic:cNvPr id="8" name="image3.jpeg"/>
                  <pic:cNvPicPr/>
                </pic:nvPicPr>
                <pic:blipFill>
                  <a:blip r:embed="rId1" cstate="print"/>
                  <a:stretch>
                    <a:fillRect/>
                  </a:stretch>
                </pic:blipFill>
                <pic:spPr>
                  <a:xfrm>
                    <a:off x="0" y="0"/>
                    <a:ext cx="7305575" cy="519427"/>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72.410004pt;margin-top:802.255981pt;width:50.5pt;height:13.05pt;mso-position-horizontal-relative:page;mso-position-vertical-relative:page;z-index:-15823872" type="#_x0000_t202" filled="false" stroked="false">
          <v:textbox inset="0,0,0,0">
            <w:txbxContent>
              <w:p>
                <w:pPr>
                  <w:pStyle w:val="BodyText"/>
                  <w:spacing w:line="245" w:lineRule="exact"/>
                  <w:ind w:left="20"/>
                </w:pPr>
                <w:r>
                  <w:rPr/>
                  <w:t>M.o.U. </w:t>
                </w:r>
                <w:r>
                  <w:rPr/>
                  <w:fldChar w:fldCharType="begin"/>
                </w:r>
                <w:r>
                  <w:rPr/>
                  <w:instrText> PAGE </w:instrText>
                </w:r>
                <w:r>
                  <w:rPr/>
                  <w:fldChar w:fldCharType="separate"/>
                </w:r>
                <w:r>
                  <w:rPr/>
                  <w:t>4</w:t>
                </w:r>
                <w:r>
                  <w:rPr/>
                  <w:fldChar w:fldCharType="end"/>
                </w:r>
                <w:r>
                  <w:rPr/>
                  <w:t>/5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91072">
          <wp:simplePos x="0" y="0"/>
          <wp:positionH relativeFrom="page">
            <wp:posOffset>214840</wp:posOffset>
          </wp:positionH>
          <wp:positionV relativeFrom="page">
            <wp:posOffset>0</wp:posOffset>
          </wp:positionV>
          <wp:extent cx="7208590" cy="106806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208590" cy="1068069"/>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91584">
          <wp:simplePos x="0" y="0"/>
          <wp:positionH relativeFrom="page">
            <wp:posOffset>214970</wp:posOffset>
          </wp:positionH>
          <wp:positionV relativeFrom="page">
            <wp:posOffset>0</wp:posOffset>
          </wp:positionV>
          <wp:extent cx="7212951" cy="1068069"/>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7212951" cy="106806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18" w:hanging="360"/>
        <w:jc w:val="left"/>
      </w:pPr>
      <w:rPr>
        <w:rFonts w:hint="default" w:ascii="Calibri" w:hAnsi="Calibri" w:eastAsia="Calibri" w:cs="Calibri"/>
        <w:i/>
        <w:w w:val="100"/>
        <w:sz w:val="22"/>
        <w:szCs w:val="22"/>
        <w:lang w:val="en-US" w:eastAsia="en-US" w:bidi="ar-SA"/>
      </w:rPr>
    </w:lvl>
    <w:lvl w:ilvl="1">
      <w:start w:val="0"/>
      <w:numFmt w:val="bullet"/>
      <w:lvlText w:val="•"/>
      <w:lvlJc w:val="left"/>
      <w:pPr>
        <w:ind w:left="1766" w:hanging="360"/>
      </w:pPr>
      <w:rPr>
        <w:rFonts w:hint="default"/>
        <w:lang w:val="en-US" w:eastAsia="en-US" w:bidi="ar-SA"/>
      </w:rPr>
    </w:lvl>
    <w:lvl w:ilvl="2">
      <w:start w:val="0"/>
      <w:numFmt w:val="bullet"/>
      <w:lvlText w:val="•"/>
      <w:lvlJc w:val="left"/>
      <w:pPr>
        <w:ind w:left="2613" w:hanging="360"/>
      </w:pPr>
      <w:rPr>
        <w:rFonts w:hint="default"/>
        <w:lang w:val="en-US" w:eastAsia="en-US" w:bidi="ar-SA"/>
      </w:rPr>
    </w:lvl>
    <w:lvl w:ilvl="3">
      <w:start w:val="0"/>
      <w:numFmt w:val="bullet"/>
      <w:lvlText w:val="•"/>
      <w:lvlJc w:val="left"/>
      <w:pPr>
        <w:ind w:left="3459" w:hanging="360"/>
      </w:pPr>
      <w:rPr>
        <w:rFonts w:hint="default"/>
        <w:lang w:val="en-US" w:eastAsia="en-US" w:bidi="ar-SA"/>
      </w:rPr>
    </w:lvl>
    <w:lvl w:ilvl="4">
      <w:start w:val="0"/>
      <w:numFmt w:val="bullet"/>
      <w:lvlText w:val="•"/>
      <w:lvlJc w:val="left"/>
      <w:pPr>
        <w:ind w:left="4306" w:hanging="360"/>
      </w:pPr>
      <w:rPr>
        <w:rFonts w:hint="default"/>
        <w:lang w:val="en-US" w:eastAsia="en-US" w:bidi="ar-SA"/>
      </w:rPr>
    </w:lvl>
    <w:lvl w:ilvl="5">
      <w:start w:val="0"/>
      <w:numFmt w:val="bullet"/>
      <w:lvlText w:val="•"/>
      <w:lvlJc w:val="left"/>
      <w:pPr>
        <w:ind w:left="5153" w:hanging="360"/>
      </w:pPr>
      <w:rPr>
        <w:rFonts w:hint="default"/>
        <w:lang w:val="en-US" w:eastAsia="en-US" w:bidi="ar-SA"/>
      </w:rPr>
    </w:lvl>
    <w:lvl w:ilvl="6">
      <w:start w:val="0"/>
      <w:numFmt w:val="bullet"/>
      <w:lvlText w:val="•"/>
      <w:lvlJc w:val="left"/>
      <w:pPr>
        <w:ind w:left="5999" w:hanging="360"/>
      </w:pPr>
      <w:rPr>
        <w:rFonts w:hint="default"/>
        <w:lang w:val="en-US" w:eastAsia="en-US" w:bidi="ar-SA"/>
      </w:rPr>
    </w:lvl>
    <w:lvl w:ilvl="7">
      <w:start w:val="0"/>
      <w:numFmt w:val="bullet"/>
      <w:lvlText w:val="•"/>
      <w:lvlJc w:val="left"/>
      <w:pPr>
        <w:ind w:left="6846" w:hanging="360"/>
      </w:pPr>
      <w:rPr>
        <w:rFonts w:hint="default"/>
        <w:lang w:val="en-US" w:eastAsia="en-US" w:bidi="ar-SA"/>
      </w:rPr>
    </w:lvl>
    <w:lvl w:ilvl="8">
      <w:start w:val="0"/>
      <w:numFmt w:val="bullet"/>
      <w:lvlText w:val="•"/>
      <w:lvlJc w:val="left"/>
      <w:pPr>
        <w:ind w:left="7693" w:hanging="360"/>
      </w:pPr>
      <w:rPr>
        <w:rFonts w:hint="default"/>
        <w:lang w:val="en-US" w:eastAsia="en-US" w:bidi="ar-SA"/>
      </w:rPr>
    </w:lvl>
  </w:abstractNum>
  <w:abstractNum w:abstractNumId="0">
    <w:multiLevelType w:val="hybridMultilevel"/>
    <w:lvl w:ilvl="0">
      <w:start w:val="0"/>
      <w:numFmt w:val="bullet"/>
      <w:lvlText w:val=""/>
      <w:lvlJc w:val="left"/>
      <w:pPr>
        <w:ind w:left="918" w:hanging="711"/>
      </w:pPr>
      <w:rPr>
        <w:rFonts w:hint="default"/>
        <w:w w:val="100"/>
        <w:lang w:val="en-US" w:eastAsia="en-US" w:bidi="ar-SA"/>
      </w:rPr>
    </w:lvl>
    <w:lvl w:ilvl="1">
      <w:start w:val="0"/>
      <w:numFmt w:val="bullet"/>
      <w:lvlText w:val="•"/>
      <w:lvlJc w:val="left"/>
      <w:pPr>
        <w:ind w:left="1766" w:hanging="711"/>
      </w:pPr>
      <w:rPr>
        <w:rFonts w:hint="default"/>
        <w:lang w:val="en-US" w:eastAsia="en-US" w:bidi="ar-SA"/>
      </w:rPr>
    </w:lvl>
    <w:lvl w:ilvl="2">
      <w:start w:val="0"/>
      <w:numFmt w:val="bullet"/>
      <w:lvlText w:val="•"/>
      <w:lvlJc w:val="left"/>
      <w:pPr>
        <w:ind w:left="2613" w:hanging="711"/>
      </w:pPr>
      <w:rPr>
        <w:rFonts w:hint="default"/>
        <w:lang w:val="en-US" w:eastAsia="en-US" w:bidi="ar-SA"/>
      </w:rPr>
    </w:lvl>
    <w:lvl w:ilvl="3">
      <w:start w:val="0"/>
      <w:numFmt w:val="bullet"/>
      <w:lvlText w:val="•"/>
      <w:lvlJc w:val="left"/>
      <w:pPr>
        <w:ind w:left="3459" w:hanging="711"/>
      </w:pPr>
      <w:rPr>
        <w:rFonts w:hint="default"/>
        <w:lang w:val="en-US" w:eastAsia="en-US" w:bidi="ar-SA"/>
      </w:rPr>
    </w:lvl>
    <w:lvl w:ilvl="4">
      <w:start w:val="0"/>
      <w:numFmt w:val="bullet"/>
      <w:lvlText w:val="•"/>
      <w:lvlJc w:val="left"/>
      <w:pPr>
        <w:ind w:left="4306" w:hanging="711"/>
      </w:pPr>
      <w:rPr>
        <w:rFonts w:hint="default"/>
        <w:lang w:val="en-US" w:eastAsia="en-US" w:bidi="ar-SA"/>
      </w:rPr>
    </w:lvl>
    <w:lvl w:ilvl="5">
      <w:start w:val="0"/>
      <w:numFmt w:val="bullet"/>
      <w:lvlText w:val="•"/>
      <w:lvlJc w:val="left"/>
      <w:pPr>
        <w:ind w:left="5153" w:hanging="711"/>
      </w:pPr>
      <w:rPr>
        <w:rFonts w:hint="default"/>
        <w:lang w:val="en-US" w:eastAsia="en-US" w:bidi="ar-SA"/>
      </w:rPr>
    </w:lvl>
    <w:lvl w:ilvl="6">
      <w:start w:val="0"/>
      <w:numFmt w:val="bullet"/>
      <w:lvlText w:val="•"/>
      <w:lvlJc w:val="left"/>
      <w:pPr>
        <w:ind w:left="5999" w:hanging="711"/>
      </w:pPr>
      <w:rPr>
        <w:rFonts w:hint="default"/>
        <w:lang w:val="en-US" w:eastAsia="en-US" w:bidi="ar-SA"/>
      </w:rPr>
    </w:lvl>
    <w:lvl w:ilvl="7">
      <w:start w:val="0"/>
      <w:numFmt w:val="bullet"/>
      <w:lvlText w:val="•"/>
      <w:lvlJc w:val="left"/>
      <w:pPr>
        <w:ind w:left="6846" w:hanging="711"/>
      </w:pPr>
      <w:rPr>
        <w:rFonts w:hint="default"/>
        <w:lang w:val="en-US" w:eastAsia="en-US" w:bidi="ar-SA"/>
      </w:rPr>
    </w:lvl>
    <w:lvl w:ilvl="8">
      <w:start w:val="0"/>
      <w:numFmt w:val="bullet"/>
      <w:lvlText w:val="•"/>
      <w:lvlJc w:val="left"/>
      <w:pPr>
        <w:ind w:left="7693" w:hanging="711"/>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spacing w:before="27"/>
      <w:ind w:left="1192" w:hanging="711"/>
      <w:outlineLvl w:val="1"/>
    </w:pPr>
    <w:rPr>
      <w:rFonts w:ascii="Calibri" w:hAnsi="Calibri" w:eastAsia="Calibri" w:cs="Calibri"/>
      <w:b/>
      <w:bCs/>
      <w:sz w:val="36"/>
      <w:szCs w:val="36"/>
      <w:lang w:val="en-US" w:eastAsia="en-US" w:bidi="ar-SA"/>
    </w:rPr>
  </w:style>
  <w:style w:styleId="Heading2" w:type="paragraph">
    <w:name w:val="Heading 2"/>
    <w:basedOn w:val="Normal"/>
    <w:uiPriority w:val="1"/>
    <w:qFormat/>
    <w:pPr>
      <w:ind w:left="198"/>
      <w:outlineLvl w:val="2"/>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spacing w:before="159"/>
      <w:ind w:left="918" w:hanging="361"/>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jpeg"/><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Olmos</dc:creator>
  <dcterms:created xsi:type="dcterms:W3CDTF">2020-11-20T08:22:54Z</dcterms:created>
  <dcterms:modified xsi:type="dcterms:W3CDTF">2020-11-20T08:22:54Z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Microsoft® Word para Microsoft 365</vt:lpwstr>
  </property>
  <property fmtid="{D5CDD505-2E9C-101B-9397-08002B2CF9AE}" pid="4" name="LastSaved">
    <vt:filetime>2020-11-20T00:00:00Z</vt:filetime>
  </property>
</Properties>
</file>